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85" w:rsidRPr="002F6942" w:rsidRDefault="00D91385" w:rsidP="00D91385">
      <w:pPr>
        <w:rPr>
          <w:rFonts w:asciiTheme="minorHAnsi" w:hAnsiTheme="minorHAnsi" w:cstheme="minorHAnsi"/>
          <w:sz w:val="20"/>
          <w:szCs w:val="20"/>
          <w:lang w:val="nl-NL"/>
        </w:rPr>
      </w:pPr>
    </w:p>
    <w:tbl>
      <w:tblPr>
        <w:tblW w:w="5000" w:type="pct"/>
        <w:tblLook w:val="04A0"/>
      </w:tblPr>
      <w:tblGrid>
        <w:gridCol w:w="2978"/>
        <w:gridCol w:w="6264"/>
      </w:tblGrid>
      <w:tr w:rsidR="00D91385" w:rsidRPr="002F6942" w:rsidTr="00115AE5">
        <w:tc>
          <w:tcPr>
            <w:tcW w:w="1611" w:type="pct"/>
          </w:tcPr>
          <w:p w:rsidR="00D91385" w:rsidRPr="002F6942" w:rsidRDefault="00D91385" w:rsidP="00115AE5">
            <w:pPr>
              <w:spacing w:before="20" w:after="20"/>
              <w:jc w:val="center"/>
              <w:rPr>
                <w:rFonts w:ascii="Arial" w:hAnsi="Arial" w:cs="Arial"/>
                <w:b/>
                <w:bCs/>
                <w:sz w:val="20"/>
                <w:szCs w:val="20"/>
                <w:shd w:val="solid" w:color="FFFFFF" w:fill="auto"/>
                <w:lang w:val="nl-NL"/>
              </w:rPr>
            </w:pPr>
            <w:r w:rsidRPr="002F6942">
              <w:rPr>
                <w:rFonts w:ascii="Arial" w:hAnsi="Arial" w:cs="Arial"/>
                <w:b/>
                <w:bCs/>
                <w:sz w:val="20"/>
                <w:szCs w:val="20"/>
                <w:lang w:val="nl-NL"/>
              </w:rPr>
              <w:t xml:space="preserve">BỘ </w:t>
            </w:r>
            <w:r w:rsidRPr="002F6942">
              <w:rPr>
                <w:rFonts w:ascii="Arial" w:hAnsi="Arial" w:cs="Arial"/>
                <w:b/>
                <w:bCs/>
                <w:sz w:val="20"/>
                <w:szCs w:val="20"/>
                <w:shd w:val="solid" w:color="FFFFFF" w:fill="auto"/>
                <w:lang w:val="nl-NL"/>
              </w:rPr>
              <w:t>TÀI CHÍNH</w:t>
            </w:r>
            <w:r w:rsidRPr="002F6942">
              <w:rPr>
                <w:rFonts w:ascii="Arial" w:hAnsi="Arial" w:cs="Arial"/>
                <w:b/>
                <w:bCs/>
                <w:sz w:val="20"/>
                <w:szCs w:val="20"/>
                <w:shd w:val="solid" w:color="FFFFFF" w:fill="auto"/>
                <w:lang w:val="nl-NL"/>
              </w:rPr>
              <w:softHyphen/>
            </w:r>
            <w:r w:rsidRPr="002F6942">
              <w:rPr>
                <w:rFonts w:ascii="Arial" w:hAnsi="Arial" w:cs="Arial"/>
                <w:b/>
                <w:bCs/>
                <w:sz w:val="20"/>
                <w:szCs w:val="20"/>
                <w:shd w:val="solid" w:color="FFFFFF" w:fill="auto"/>
                <w:lang w:val="nl-NL"/>
              </w:rPr>
              <w:softHyphen/>
            </w:r>
            <w:r w:rsidRPr="002F6942">
              <w:rPr>
                <w:rFonts w:ascii="Arial" w:hAnsi="Arial" w:cs="Arial"/>
                <w:b/>
                <w:bCs/>
                <w:sz w:val="20"/>
                <w:szCs w:val="20"/>
                <w:shd w:val="solid" w:color="FFFFFF" w:fill="auto"/>
                <w:lang w:val="nl-NL"/>
              </w:rPr>
              <w:softHyphen/>
            </w:r>
            <w:r w:rsidRPr="002F6942">
              <w:rPr>
                <w:rFonts w:ascii="Arial" w:hAnsi="Arial" w:cs="Arial"/>
                <w:b/>
                <w:bCs/>
                <w:sz w:val="20"/>
                <w:szCs w:val="20"/>
                <w:shd w:val="solid" w:color="FFFFFF" w:fill="auto"/>
                <w:lang w:val="nl-NL"/>
              </w:rPr>
              <w:softHyphen/>
            </w:r>
          </w:p>
          <w:p w:rsidR="00D91385" w:rsidRPr="002F6942" w:rsidRDefault="00D91385" w:rsidP="00115AE5">
            <w:pPr>
              <w:spacing w:before="20" w:after="20"/>
              <w:jc w:val="center"/>
              <w:rPr>
                <w:rFonts w:ascii="Arial" w:hAnsi="Arial" w:cs="Arial"/>
                <w:bCs/>
                <w:sz w:val="20"/>
                <w:szCs w:val="20"/>
                <w:shd w:val="solid" w:color="FFFFFF" w:fill="auto"/>
                <w:lang w:val="nl-NL"/>
              </w:rPr>
            </w:pPr>
            <w:r w:rsidRPr="002F6942">
              <w:rPr>
                <w:rFonts w:ascii="Arial" w:hAnsi="Arial" w:cs="Arial"/>
                <w:bCs/>
                <w:sz w:val="20"/>
                <w:szCs w:val="20"/>
                <w:shd w:val="solid" w:color="FFFFFF" w:fill="auto"/>
                <w:lang w:val="nl-NL"/>
              </w:rPr>
              <w:t xml:space="preserve">_______ </w:t>
            </w:r>
          </w:p>
          <w:p w:rsidR="00D91385" w:rsidRPr="002F6942" w:rsidRDefault="00D91385" w:rsidP="00115AE5">
            <w:pPr>
              <w:spacing w:before="20" w:after="20"/>
              <w:jc w:val="center"/>
              <w:rPr>
                <w:rFonts w:ascii="Arial" w:hAnsi="Arial" w:cs="Arial"/>
                <w:bCs/>
                <w:sz w:val="20"/>
                <w:szCs w:val="20"/>
                <w:shd w:val="solid" w:color="FFFFFF" w:fill="auto"/>
                <w:lang w:val="nl-NL"/>
              </w:rPr>
            </w:pPr>
          </w:p>
          <w:p w:rsidR="00D91385" w:rsidRPr="002F6942" w:rsidRDefault="00D91385" w:rsidP="00115AE5">
            <w:pPr>
              <w:spacing w:before="20" w:after="20"/>
              <w:jc w:val="center"/>
              <w:rPr>
                <w:rFonts w:ascii="Arial" w:hAnsi="Arial" w:cs="Arial"/>
                <w:bCs/>
                <w:sz w:val="20"/>
                <w:szCs w:val="20"/>
                <w:shd w:val="solid" w:color="FFFFFF" w:fill="auto"/>
                <w:lang w:val="nl-NL"/>
              </w:rPr>
            </w:pPr>
          </w:p>
          <w:p w:rsidR="00D91385" w:rsidRPr="002F6942" w:rsidRDefault="00D91385" w:rsidP="00115AE5">
            <w:pPr>
              <w:spacing w:before="20" w:after="20"/>
              <w:jc w:val="center"/>
              <w:rPr>
                <w:rFonts w:ascii="Arial" w:hAnsi="Arial" w:cs="Arial"/>
                <w:sz w:val="20"/>
                <w:szCs w:val="20"/>
                <w:lang w:val="nl-NL"/>
              </w:rPr>
            </w:pPr>
            <w:r w:rsidRPr="002F6942">
              <w:rPr>
                <w:rFonts w:asciiTheme="minorHAnsi" w:hAnsiTheme="minorHAnsi" w:cstheme="minorHAnsi"/>
                <w:sz w:val="20"/>
                <w:szCs w:val="20"/>
                <w:lang w:val="nl-NL"/>
              </w:rPr>
              <w:t>Số:  94/2005/QĐ-BTC</w:t>
            </w:r>
          </w:p>
        </w:tc>
        <w:tc>
          <w:tcPr>
            <w:tcW w:w="3389" w:type="pct"/>
          </w:tcPr>
          <w:p w:rsidR="00D91385" w:rsidRPr="002F6942" w:rsidRDefault="00D91385" w:rsidP="00115AE5">
            <w:pPr>
              <w:spacing w:before="20" w:after="20"/>
              <w:jc w:val="center"/>
              <w:rPr>
                <w:rFonts w:ascii="Arial" w:hAnsi="Arial" w:cs="Arial"/>
                <w:b/>
                <w:sz w:val="20"/>
                <w:szCs w:val="20"/>
                <w:lang w:val="nl-NL"/>
              </w:rPr>
            </w:pPr>
            <w:r w:rsidRPr="002F6942">
              <w:rPr>
                <w:rFonts w:ascii="Arial" w:hAnsi="Arial" w:cs="Arial"/>
                <w:b/>
                <w:sz w:val="20"/>
                <w:szCs w:val="20"/>
                <w:lang w:val="nl-NL"/>
              </w:rPr>
              <w:t>CỘNG HÒA XÃ HỘI CHỦ NGHĨA VIỆT NAM</w:t>
            </w:r>
          </w:p>
          <w:p w:rsidR="00D91385" w:rsidRPr="002F6942" w:rsidRDefault="00D91385" w:rsidP="00115AE5">
            <w:pPr>
              <w:spacing w:before="20" w:after="20"/>
              <w:jc w:val="center"/>
              <w:rPr>
                <w:rFonts w:ascii="Arial" w:hAnsi="Arial" w:cs="Arial"/>
                <w:sz w:val="20"/>
                <w:szCs w:val="20"/>
              </w:rPr>
            </w:pPr>
            <w:proofErr w:type="spellStart"/>
            <w:r w:rsidRPr="002F6942">
              <w:rPr>
                <w:rFonts w:ascii="Arial" w:hAnsi="Arial" w:cs="Arial"/>
                <w:sz w:val="20"/>
                <w:szCs w:val="20"/>
              </w:rPr>
              <w:t>Độc</w:t>
            </w:r>
            <w:proofErr w:type="spellEnd"/>
            <w:r w:rsidRPr="002F6942">
              <w:rPr>
                <w:rFonts w:ascii="Arial" w:hAnsi="Arial" w:cs="Arial"/>
                <w:sz w:val="20"/>
                <w:szCs w:val="20"/>
              </w:rPr>
              <w:t xml:space="preserve"> </w:t>
            </w:r>
            <w:proofErr w:type="spellStart"/>
            <w:r w:rsidRPr="002F6942">
              <w:rPr>
                <w:rFonts w:ascii="Arial" w:hAnsi="Arial" w:cs="Arial"/>
                <w:sz w:val="20"/>
                <w:szCs w:val="20"/>
              </w:rPr>
              <w:t>lập</w:t>
            </w:r>
            <w:proofErr w:type="spellEnd"/>
            <w:r w:rsidRPr="002F6942">
              <w:rPr>
                <w:rFonts w:ascii="Arial" w:hAnsi="Arial" w:cs="Arial"/>
                <w:sz w:val="20"/>
                <w:szCs w:val="20"/>
              </w:rPr>
              <w:t xml:space="preserve"> – </w:t>
            </w:r>
            <w:proofErr w:type="spellStart"/>
            <w:r w:rsidRPr="002F6942">
              <w:rPr>
                <w:rFonts w:ascii="Arial" w:hAnsi="Arial" w:cs="Arial"/>
                <w:sz w:val="20"/>
                <w:szCs w:val="20"/>
              </w:rPr>
              <w:t>Tự</w:t>
            </w:r>
            <w:proofErr w:type="spellEnd"/>
            <w:r w:rsidRPr="002F6942">
              <w:rPr>
                <w:rFonts w:ascii="Arial" w:hAnsi="Arial" w:cs="Arial"/>
                <w:sz w:val="20"/>
                <w:szCs w:val="20"/>
              </w:rPr>
              <w:t xml:space="preserve"> do – </w:t>
            </w:r>
            <w:proofErr w:type="spellStart"/>
            <w:r w:rsidRPr="002F6942">
              <w:rPr>
                <w:rFonts w:ascii="Arial" w:hAnsi="Arial" w:cs="Arial"/>
                <w:sz w:val="20"/>
                <w:szCs w:val="20"/>
              </w:rPr>
              <w:t>Hạnh</w:t>
            </w:r>
            <w:proofErr w:type="spellEnd"/>
            <w:r w:rsidRPr="002F6942">
              <w:rPr>
                <w:rFonts w:ascii="Arial" w:hAnsi="Arial" w:cs="Arial"/>
                <w:sz w:val="20"/>
                <w:szCs w:val="20"/>
              </w:rPr>
              <w:t xml:space="preserve"> </w:t>
            </w:r>
            <w:proofErr w:type="spellStart"/>
            <w:r w:rsidRPr="002F6942">
              <w:rPr>
                <w:rFonts w:ascii="Arial" w:hAnsi="Arial" w:cs="Arial"/>
                <w:sz w:val="20"/>
                <w:szCs w:val="20"/>
              </w:rPr>
              <w:t>phúc</w:t>
            </w:r>
            <w:proofErr w:type="spellEnd"/>
          </w:p>
          <w:p w:rsidR="00D91385" w:rsidRPr="002F6942" w:rsidRDefault="00D91385" w:rsidP="00115AE5">
            <w:pPr>
              <w:spacing w:before="20" w:after="20"/>
              <w:jc w:val="center"/>
              <w:rPr>
                <w:rFonts w:ascii="Arial" w:hAnsi="Arial" w:cs="Arial"/>
                <w:sz w:val="20"/>
                <w:szCs w:val="20"/>
              </w:rPr>
            </w:pPr>
            <w:r w:rsidRPr="002F6942">
              <w:rPr>
                <w:rFonts w:ascii="Arial" w:hAnsi="Arial" w:cs="Arial"/>
                <w:sz w:val="20"/>
                <w:szCs w:val="20"/>
              </w:rPr>
              <w:t xml:space="preserve">______________ </w:t>
            </w:r>
          </w:p>
          <w:p w:rsidR="00D91385" w:rsidRPr="002F6942" w:rsidRDefault="00D91385" w:rsidP="00115AE5">
            <w:pPr>
              <w:spacing w:before="20" w:after="20"/>
              <w:jc w:val="center"/>
              <w:rPr>
                <w:rFonts w:ascii="Arial" w:hAnsi="Arial" w:cs="Arial"/>
                <w:sz w:val="20"/>
                <w:szCs w:val="20"/>
              </w:rPr>
            </w:pPr>
          </w:p>
          <w:p w:rsidR="00D91385" w:rsidRPr="002F6942" w:rsidRDefault="00D91385" w:rsidP="00115AE5">
            <w:pPr>
              <w:spacing w:before="20" w:after="20"/>
              <w:jc w:val="right"/>
              <w:rPr>
                <w:rFonts w:ascii="Arial" w:hAnsi="Arial" w:cs="Arial"/>
                <w:sz w:val="20"/>
                <w:szCs w:val="20"/>
              </w:rPr>
            </w:pPr>
            <w:r w:rsidRPr="002F6942">
              <w:rPr>
                <w:rFonts w:asciiTheme="minorHAnsi" w:hAnsiTheme="minorHAnsi" w:cstheme="minorHAnsi"/>
                <w:i/>
                <w:sz w:val="20"/>
                <w:szCs w:val="20"/>
                <w:lang w:val="nl-NL"/>
              </w:rPr>
              <w:t>Hà nội, ngày 12 tháng 12 năm 2005</w:t>
            </w:r>
          </w:p>
        </w:tc>
      </w:tr>
    </w:tbl>
    <w:p w:rsidR="00D91385" w:rsidRPr="002F6942" w:rsidRDefault="00D91385" w:rsidP="00D91385">
      <w:pPr>
        <w:rPr>
          <w:rFonts w:asciiTheme="minorHAnsi" w:hAnsiTheme="minorHAnsi" w:cstheme="minorHAnsi"/>
          <w:sz w:val="20"/>
          <w:szCs w:val="20"/>
          <w:lang w:val="nl-NL"/>
        </w:rPr>
      </w:pPr>
    </w:p>
    <w:p w:rsidR="00D91385" w:rsidRPr="002F6942" w:rsidRDefault="00D91385" w:rsidP="00D91385">
      <w:pPr>
        <w:rPr>
          <w:rFonts w:asciiTheme="minorHAnsi" w:hAnsiTheme="minorHAnsi" w:cstheme="minorHAnsi"/>
          <w:sz w:val="20"/>
          <w:szCs w:val="20"/>
          <w:lang w:val="nl-NL"/>
        </w:rPr>
      </w:pPr>
    </w:p>
    <w:p w:rsidR="00D91385" w:rsidRPr="002F6942" w:rsidRDefault="00D91385" w:rsidP="00D91385">
      <w:pPr>
        <w:jc w:val="center"/>
        <w:rPr>
          <w:rFonts w:asciiTheme="minorHAnsi" w:hAnsiTheme="minorHAnsi" w:cstheme="minorHAnsi"/>
          <w:b/>
          <w:sz w:val="20"/>
          <w:szCs w:val="20"/>
          <w:lang w:val="nl-NL"/>
        </w:rPr>
      </w:pPr>
      <w:r w:rsidRPr="002F6942">
        <w:rPr>
          <w:rFonts w:asciiTheme="minorHAnsi" w:hAnsiTheme="minorHAnsi" w:cstheme="minorHAnsi"/>
          <w:b/>
          <w:sz w:val="20"/>
          <w:szCs w:val="20"/>
          <w:lang w:val="nl-NL"/>
        </w:rPr>
        <w:t xml:space="preserve">QUYẾT ĐỊNH </w:t>
      </w:r>
    </w:p>
    <w:p w:rsidR="00D91385" w:rsidRPr="002F6942" w:rsidRDefault="00D91385" w:rsidP="00D91385">
      <w:pPr>
        <w:jc w:val="center"/>
        <w:rPr>
          <w:rFonts w:asciiTheme="minorHAnsi" w:hAnsiTheme="minorHAnsi" w:cstheme="minorHAnsi"/>
          <w:b/>
          <w:sz w:val="20"/>
          <w:szCs w:val="20"/>
          <w:lang w:val="nl-NL"/>
        </w:rPr>
      </w:pPr>
      <w:r w:rsidRPr="002F6942">
        <w:rPr>
          <w:rFonts w:asciiTheme="minorHAnsi" w:hAnsiTheme="minorHAnsi" w:cstheme="minorHAnsi"/>
          <w:b/>
          <w:sz w:val="20"/>
          <w:szCs w:val="20"/>
          <w:lang w:val="nl-NL"/>
        </w:rPr>
        <w:t>Về việc ban hành “Chế độ kế toán ngân sách và tài chính xã”</w:t>
      </w:r>
    </w:p>
    <w:p w:rsidR="00D91385" w:rsidRPr="002F6942" w:rsidRDefault="00D91385" w:rsidP="00D91385">
      <w:pPr>
        <w:tabs>
          <w:tab w:val="left" w:pos="2415"/>
          <w:tab w:val="center" w:pos="5040"/>
        </w:tabs>
        <w:rPr>
          <w:rFonts w:asciiTheme="minorHAnsi" w:hAnsiTheme="minorHAnsi" w:cstheme="minorHAnsi"/>
          <w:b/>
          <w:sz w:val="20"/>
          <w:szCs w:val="20"/>
          <w:lang w:val="nl-NL"/>
        </w:rPr>
      </w:pPr>
      <w:r w:rsidRPr="002F6942">
        <w:rPr>
          <w:rFonts w:asciiTheme="minorHAnsi" w:hAnsiTheme="minorHAnsi" w:cstheme="minorHAnsi"/>
          <w:b/>
          <w:sz w:val="20"/>
          <w:szCs w:val="20"/>
          <w:lang w:val="nl-NL"/>
        </w:rPr>
        <w:tab/>
      </w:r>
    </w:p>
    <w:p w:rsidR="00D91385" w:rsidRPr="002F6942" w:rsidRDefault="00D91385" w:rsidP="00D91385">
      <w:pPr>
        <w:jc w:val="center"/>
        <w:rPr>
          <w:rFonts w:asciiTheme="minorHAnsi" w:hAnsiTheme="minorHAnsi" w:cstheme="minorHAnsi"/>
          <w:b/>
          <w:sz w:val="20"/>
          <w:szCs w:val="20"/>
          <w:lang w:val="nl-NL"/>
        </w:rPr>
      </w:pPr>
    </w:p>
    <w:p w:rsidR="00D91385" w:rsidRPr="002F6942" w:rsidRDefault="00D91385" w:rsidP="00D91385">
      <w:pPr>
        <w:jc w:val="center"/>
        <w:rPr>
          <w:rFonts w:asciiTheme="minorHAnsi" w:hAnsiTheme="minorHAnsi" w:cstheme="minorHAnsi"/>
          <w:b/>
          <w:sz w:val="20"/>
          <w:szCs w:val="20"/>
          <w:lang w:val="nl-NL"/>
        </w:rPr>
      </w:pPr>
      <w:r w:rsidRPr="002F6942">
        <w:rPr>
          <w:rFonts w:asciiTheme="minorHAnsi" w:hAnsiTheme="minorHAnsi" w:cstheme="minorHAnsi"/>
          <w:b/>
          <w:sz w:val="20"/>
          <w:szCs w:val="20"/>
          <w:lang w:val="nl-NL"/>
        </w:rPr>
        <w:t>BỘ TRƯỞNG BỘ TÀI CHÍNH</w:t>
      </w:r>
    </w:p>
    <w:p w:rsidR="00D91385" w:rsidRPr="002F6942" w:rsidRDefault="00D91385" w:rsidP="00D91385">
      <w:pPr>
        <w:jc w:val="both"/>
        <w:rPr>
          <w:rFonts w:asciiTheme="minorHAnsi" w:hAnsiTheme="minorHAnsi" w:cstheme="minorHAnsi"/>
          <w:sz w:val="20"/>
          <w:szCs w:val="20"/>
          <w:lang w:val="nl-NL"/>
        </w:rPr>
      </w:pPr>
    </w:p>
    <w:p w:rsidR="00D91385" w:rsidRPr="002F6942" w:rsidRDefault="00D91385" w:rsidP="00D91385">
      <w:pPr>
        <w:spacing w:before="60" w:line="281"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t>- Căn cứ Luật Kế toán số 03/2003/QH11 ngày 17/6/2003 và Nghị định số 128/2004/NĐ-CP ngày 31/5/2004 của Chính phủ về việc quy định chi tiết và hướng dẫn thi hành một số điều của Luật Kế toán trong lĩnh vực kế toán nhà nước;</w:t>
      </w:r>
    </w:p>
    <w:p w:rsidR="00D91385" w:rsidRPr="002F6942" w:rsidRDefault="00D91385" w:rsidP="00D91385">
      <w:pPr>
        <w:spacing w:before="60" w:line="281" w:lineRule="auto"/>
        <w:ind w:firstLine="720"/>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 xml:space="preserve">- Căn cứ Luật Ngân sách nhà nước số 01/2002/QH11 ngày 16/12/2002 và Nghị định số 60/2003/NĐ-CP ngày 06/6/2003 của Chính phủ qui định chi tiết và hướng dẫn thi hành Luật Ngân sách nhà nước; </w:t>
      </w:r>
    </w:p>
    <w:p w:rsidR="00D91385" w:rsidRPr="002F6942" w:rsidRDefault="00D91385" w:rsidP="00D91385">
      <w:pPr>
        <w:spacing w:before="60" w:line="281"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t>- Căn cứ Nghị định số 77/2003/NĐ-CP ngày 01/7/2003 của Chính phủ qui định chức năng, nhiệm vụ, quyền hạn và cơ cấu tổ chức của Bộ Tài chính;</w:t>
      </w:r>
    </w:p>
    <w:p w:rsidR="00D91385" w:rsidRPr="002F6942" w:rsidRDefault="00D91385" w:rsidP="00D91385">
      <w:pPr>
        <w:spacing w:before="60" w:line="281"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t>Theo đề nghị của Vụ trưởng Vụ Chế độ kế toán và kiểm toán, Vụ trưởng Vụ Ngân sách Nhà nước và Chánh Văn phòng Bộ Tài chính,</w:t>
      </w:r>
    </w:p>
    <w:p w:rsidR="00D91385" w:rsidRPr="002F6942" w:rsidRDefault="00D91385" w:rsidP="00D91385">
      <w:pPr>
        <w:spacing w:before="60" w:line="288" w:lineRule="auto"/>
        <w:jc w:val="center"/>
        <w:rPr>
          <w:rFonts w:asciiTheme="minorHAnsi" w:hAnsiTheme="minorHAnsi" w:cstheme="minorHAnsi"/>
          <w:b/>
          <w:sz w:val="20"/>
          <w:szCs w:val="20"/>
          <w:lang w:val="nl-NL"/>
        </w:rPr>
      </w:pPr>
    </w:p>
    <w:p w:rsidR="00D91385" w:rsidRPr="002F6942" w:rsidRDefault="00D91385" w:rsidP="00D91385">
      <w:pPr>
        <w:spacing w:before="60" w:line="288" w:lineRule="auto"/>
        <w:jc w:val="center"/>
        <w:rPr>
          <w:rFonts w:asciiTheme="minorHAnsi" w:hAnsiTheme="minorHAnsi" w:cstheme="minorHAnsi"/>
          <w:b/>
          <w:sz w:val="20"/>
          <w:szCs w:val="20"/>
          <w:lang w:val="nl-NL"/>
        </w:rPr>
      </w:pPr>
      <w:r w:rsidRPr="002F6942">
        <w:rPr>
          <w:rFonts w:asciiTheme="minorHAnsi" w:hAnsiTheme="minorHAnsi" w:cstheme="minorHAnsi"/>
          <w:b/>
          <w:sz w:val="20"/>
          <w:szCs w:val="20"/>
          <w:lang w:val="nl-NL"/>
        </w:rPr>
        <w:t>QUYẾT ĐỊNH:</w:t>
      </w:r>
    </w:p>
    <w:p w:rsidR="00D91385" w:rsidRPr="002F6942" w:rsidRDefault="00D91385" w:rsidP="00D91385">
      <w:pPr>
        <w:spacing w:before="60" w:line="288"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r>
      <w:r w:rsidRPr="002F6942">
        <w:rPr>
          <w:rFonts w:asciiTheme="minorHAnsi" w:hAnsiTheme="minorHAnsi" w:cstheme="minorHAnsi"/>
          <w:b/>
          <w:sz w:val="20"/>
          <w:szCs w:val="20"/>
          <w:lang w:val="nl-NL"/>
        </w:rPr>
        <w:t>Điều 1.</w:t>
      </w:r>
      <w:r w:rsidRPr="002F6942">
        <w:rPr>
          <w:rFonts w:asciiTheme="minorHAnsi" w:hAnsiTheme="minorHAnsi" w:cstheme="minorHAnsi"/>
          <w:sz w:val="20"/>
          <w:szCs w:val="20"/>
          <w:lang w:val="nl-NL"/>
        </w:rPr>
        <w:t xml:space="preserve"> Ban hành kèm theo Quyết định này "Chế độ kế toán ngân sách và tài chính xã ",  gồm 5 phần:</w:t>
      </w:r>
    </w:p>
    <w:p w:rsidR="00D91385" w:rsidRPr="002F6942" w:rsidRDefault="00D91385" w:rsidP="00D91385">
      <w:pPr>
        <w:spacing w:before="60" w:line="288"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t xml:space="preserve">Phần thứ nhất- Qui định chung; </w:t>
      </w:r>
    </w:p>
    <w:p w:rsidR="00D91385" w:rsidRPr="002F6942" w:rsidRDefault="00D91385" w:rsidP="00D91385">
      <w:pPr>
        <w:spacing w:before="60" w:line="288"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t>Phần thứ hai-   Hệ thống chứng từ kế toán;</w:t>
      </w:r>
    </w:p>
    <w:p w:rsidR="00D91385" w:rsidRPr="002F6942" w:rsidRDefault="00D91385" w:rsidP="00D91385">
      <w:pPr>
        <w:spacing w:before="60" w:line="288"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t>Phần thứ ba-</w:t>
      </w:r>
      <w:r w:rsidRPr="002F6942">
        <w:rPr>
          <w:rFonts w:asciiTheme="minorHAnsi" w:hAnsiTheme="minorHAnsi" w:cstheme="minorHAnsi"/>
          <w:sz w:val="20"/>
          <w:szCs w:val="20"/>
          <w:lang w:val="nl-NL"/>
        </w:rPr>
        <w:tab/>
        <w:t xml:space="preserve">    Hệ thống tài khoản kế toán;</w:t>
      </w:r>
    </w:p>
    <w:p w:rsidR="00D91385" w:rsidRPr="002F6942" w:rsidRDefault="00D91385" w:rsidP="00D91385">
      <w:pPr>
        <w:spacing w:before="60" w:line="288"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t>Phần thứ tư-</w:t>
      </w:r>
      <w:r w:rsidRPr="002F6942">
        <w:rPr>
          <w:rFonts w:asciiTheme="minorHAnsi" w:hAnsiTheme="minorHAnsi" w:cstheme="minorHAnsi"/>
          <w:sz w:val="20"/>
          <w:szCs w:val="20"/>
          <w:lang w:val="nl-NL"/>
        </w:rPr>
        <w:tab/>
        <w:t xml:space="preserve">    Hệ thống sổ kế toán;</w:t>
      </w:r>
    </w:p>
    <w:p w:rsidR="00D91385" w:rsidRPr="002F6942" w:rsidRDefault="00D91385" w:rsidP="00D91385">
      <w:pPr>
        <w:spacing w:before="60" w:line="288"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t>Phần thứ năm- Hệ thống báo cáo tài chính và báo cáo quyết toán.</w:t>
      </w:r>
    </w:p>
    <w:p w:rsidR="00D91385" w:rsidRPr="002F6942" w:rsidRDefault="00D91385" w:rsidP="00D91385">
      <w:pPr>
        <w:spacing w:before="60" w:line="288" w:lineRule="auto"/>
        <w:jc w:val="both"/>
        <w:rPr>
          <w:rFonts w:asciiTheme="minorHAnsi" w:hAnsiTheme="minorHAnsi" w:cstheme="minorHAnsi"/>
          <w:spacing w:val="4"/>
          <w:sz w:val="20"/>
          <w:szCs w:val="20"/>
          <w:lang w:val="nl-NL"/>
        </w:rPr>
      </w:pPr>
      <w:r w:rsidRPr="002F6942">
        <w:rPr>
          <w:rFonts w:asciiTheme="minorHAnsi" w:hAnsiTheme="minorHAnsi" w:cstheme="minorHAnsi"/>
          <w:spacing w:val="4"/>
          <w:sz w:val="20"/>
          <w:szCs w:val="20"/>
          <w:lang w:val="nl-NL"/>
        </w:rPr>
        <w:tab/>
      </w:r>
      <w:r w:rsidRPr="002F6942">
        <w:rPr>
          <w:rFonts w:asciiTheme="minorHAnsi" w:hAnsiTheme="minorHAnsi" w:cstheme="minorHAnsi"/>
          <w:b/>
          <w:spacing w:val="4"/>
          <w:sz w:val="20"/>
          <w:szCs w:val="20"/>
          <w:lang w:val="nl-NL"/>
        </w:rPr>
        <w:t>Điều 2.</w:t>
      </w:r>
      <w:r w:rsidRPr="002F6942">
        <w:rPr>
          <w:rFonts w:asciiTheme="minorHAnsi" w:hAnsiTheme="minorHAnsi" w:cstheme="minorHAnsi"/>
          <w:spacing w:val="4"/>
          <w:sz w:val="20"/>
          <w:szCs w:val="20"/>
          <w:lang w:val="nl-NL"/>
        </w:rPr>
        <w:t xml:space="preserve"> Chế độ kế toán ngân sách và tài chính xã áp dụng cho xã, phường, thị trấn (dưới đây gọi chung là xã) thuộc các quận, huyện, thị xã của các tỉnh, thành phố trong cả nước.</w:t>
      </w:r>
    </w:p>
    <w:p w:rsidR="00D91385" w:rsidRPr="002F6942" w:rsidRDefault="00D91385" w:rsidP="00D91385">
      <w:pPr>
        <w:spacing w:before="60" w:line="288"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r>
      <w:r w:rsidRPr="002F6942">
        <w:rPr>
          <w:rFonts w:asciiTheme="minorHAnsi" w:hAnsiTheme="minorHAnsi" w:cstheme="minorHAnsi"/>
          <w:b/>
          <w:sz w:val="20"/>
          <w:szCs w:val="20"/>
          <w:lang w:val="nl-NL"/>
        </w:rPr>
        <w:t>Điều 3.</w:t>
      </w:r>
      <w:r w:rsidRPr="002F6942">
        <w:rPr>
          <w:rFonts w:asciiTheme="minorHAnsi" w:hAnsiTheme="minorHAnsi" w:cstheme="minorHAnsi"/>
          <w:sz w:val="20"/>
          <w:szCs w:val="20"/>
          <w:lang w:val="nl-NL"/>
        </w:rPr>
        <w:t xml:space="preserve"> Chế độ kế toán ngân sách và tài chính xã có hiệu lực sau 15 ngày, kể từ ngày đăng công báo và thay thế Chế độ kế toán ngân sách và tài chính xã ban hành kèm theo Quyết định số 141/2001/QĐ-BTC ngày 21/12/2001 và Quyết định số 208/2003/QĐ-BTC ngày 15/12/2003 của Bộ trưởng Bộ Tài chính sửa đổi, bổ sung Chế độ kế toán ngân sách và tài chính xã ban hành theo Quyết định số 141/2001/QĐ-BTC ngày 21/12/2001. </w:t>
      </w:r>
    </w:p>
    <w:p w:rsidR="00D91385" w:rsidRPr="002F6942" w:rsidRDefault="00D91385" w:rsidP="00D91385">
      <w:pPr>
        <w:spacing w:before="60" w:line="288"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r>
      <w:r w:rsidRPr="002F6942">
        <w:rPr>
          <w:rFonts w:asciiTheme="minorHAnsi" w:hAnsiTheme="minorHAnsi" w:cstheme="minorHAnsi"/>
          <w:b/>
          <w:sz w:val="20"/>
          <w:szCs w:val="20"/>
          <w:lang w:val="nl-NL"/>
        </w:rPr>
        <w:t xml:space="preserve">Điều 4. </w:t>
      </w:r>
      <w:r w:rsidRPr="002F6942">
        <w:rPr>
          <w:rFonts w:asciiTheme="minorHAnsi" w:hAnsiTheme="minorHAnsi" w:cstheme="minorHAnsi"/>
          <w:sz w:val="20"/>
          <w:szCs w:val="20"/>
          <w:lang w:val="nl-NL"/>
        </w:rPr>
        <w:t>Giám đốc Sở Tài chính các tỉnh, thành phố trực thuộc TW chịu trách nhiệm triển khai, hướng dẫn và kiểm tra việc thực hiện Chế độ kế toán này ở các xã, phường, thị trấn thuộc địa phương.</w:t>
      </w:r>
    </w:p>
    <w:p w:rsidR="00D91385" w:rsidRPr="002F6942" w:rsidRDefault="00D91385" w:rsidP="00D91385">
      <w:pPr>
        <w:spacing w:before="60" w:line="288"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tab/>
        <w:t>Những xã ở miền núi thuộc vùng cao có số thu, chi ngân sách không lớn và trình độ cán bộ kế toán còn hạn chế, Bộ Tài chính uỷ quyền cho Giám đốc Sở Tài chính xem xét và cho phép áp dụng phương pháp "kế toán đơn" hoặc lựa chọn các tài khoản áp dụng cho phù hợp.</w:t>
      </w:r>
    </w:p>
    <w:p w:rsidR="00D91385" w:rsidRPr="002F6942" w:rsidRDefault="00D91385" w:rsidP="00D91385">
      <w:pPr>
        <w:spacing w:before="60" w:line="288" w:lineRule="auto"/>
        <w:ind w:firstLine="720"/>
        <w:jc w:val="both"/>
        <w:rPr>
          <w:rFonts w:asciiTheme="minorHAnsi" w:hAnsiTheme="minorHAnsi" w:cstheme="minorHAnsi"/>
          <w:sz w:val="20"/>
          <w:szCs w:val="20"/>
          <w:lang w:val="nl-NL"/>
        </w:rPr>
      </w:pPr>
      <w:r w:rsidRPr="002F6942">
        <w:rPr>
          <w:rFonts w:asciiTheme="minorHAnsi" w:hAnsiTheme="minorHAnsi" w:cstheme="minorHAnsi"/>
          <w:b/>
          <w:sz w:val="20"/>
          <w:szCs w:val="20"/>
          <w:lang w:val="nl-NL"/>
        </w:rPr>
        <w:t xml:space="preserve">Điều 5. </w:t>
      </w:r>
      <w:r w:rsidRPr="002F6942">
        <w:rPr>
          <w:rFonts w:asciiTheme="minorHAnsi" w:hAnsiTheme="minorHAnsi" w:cstheme="minorHAnsi"/>
          <w:sz w:val="20"/>
          <w:szCs w:val="20"/>
          <w:lang w:val="nl-NL"/>
        </w:rPr>
        <w:t>Chủ tịch Uỷ ban nhân dân xã, phường, thị trấn phải thực hiện nghiêm chỉnh những qui định trong Chế độ kế toán này.</w:t>
      </w:r>
    </w:p>
    <w:p w:rsidR="00D91385" w:rsidRPr="002F6942" w:rsidRDefault="00D91385" w:rsidP="00D91385">
      <w:pPr>
        <w:spacing w:before="60" w:line="288" w:lineRule="auto"/>
        <w:jc w:val="both"/>
        <w:rPr>
          <w:rFonts w:asciiTheme="minorHAnsi" w:hAnsiTheme="minorHAnsi" w:cstheme="minorHAnsi"/>
          <w:sz w:val="20"/>
          <w:szCs w:val="20"/>
          <w:lang w:val="nl-NL"/>
        </w:rPr>
      </w:pPr>
      <w:r w:rsidRPr="002F6942">
        <w:rPr>
          <w:rFonts w:asciiTheme="minorHAnsi" w:hAnsiTheme="minorHAnsi" w:cstheme="minorHAnsi"/>
          <w:sz w:val="20"/>
          <w:szCs w:val="20"/>
          <w:lang w:val="nl-NL"/>
        </w:rPr>
        <w:lastRenderedPageBreak/>
        <w:tab/>
      </w:r>
      <w:r w:rsidRPr="002F6942">
        <w:rPr>
          <w:rFonts w:asciiTheme="minorHAnsi" w:hAnsiTheme="minorHAnsi" w:cstheme="minorHAnsi"/>
          <w:b/>
          <w:sz w:val="20"/>
          <w:szCs w:val="20"/>
          <w:lang w:val="nl-NL"/>
        </w:rPr>
        <w:t xml:space="preserve">Điều 6. </w:t>
      </w:r>
      <w:r w:rsidRPr="002F6942">
        <w:rPr>
          <w:rFonts w:asciiTheme="minorHAnsi" w:hAnsiTheme="minorHAnsi" w:cstheme="minorHAnsi"/>
          <w:sz w:val="20"/>
          <w:szCs w:val="20"/>
          <w:lang w:val="nl-NL"/>
        </w:rPr>
        <w:t>Vụ trưởng Vụ Chế độ kế toán và kiểm toán, Vụ trưởng Vụ Ngân sách Nhà nước, Tổng Giám đốc Kho bạc Nhà nước Trung ương, Tổng cục trưởng Tổng cục Thuế, Chánh văn phòng Bộ Tài chính và Thủ trưởng các đơn vị có liên quan thuộc Bộ Tài chính chịu trách nhiệm hướng dẫn, kiểm tra và thi hành quyết định này.</w:t>
      </w:r>
    </w:p>
    <w:p w:rsidR="00D91385" w:rsidRPr="002F6942" w:rsidRDefault="00D91385" w:rsidP="00D91385">
      <w:pPr>
        <w:spacing w:before="60" w:line="288" w:lineRule="auto"/>
        <w:jc w:val="both"/>
        <w:rPr>
          <w:rFonts w:asciiTheme="minorHAnsi" w:hAnsiTheme="minorHAnsi" w:cstheme="minorHAnsi"/>
          <w:sz w:val="20"/>
          <w:szCs w:val="20"/>
          <w:lang w:val="nl-NL"/>
        </w:rPr>
      </w:pPr>
    </w:p>
    <w:tbl>
      <w:tblPr>
        <w:tblW w:w="0" w:type="auto"/>
        <w:tblLayout w:type="fixed"/>
        <w:tblLook w:val="01E0"/>
      </w:tblPr>
      <w:tblGrid>
        <w:gridCol w:w="4968"/>
        <w:gridCol w:w="4500"/>
      </w:tblGrid>
      <w:tr w:rsidR="00D91385" w:rsidRPr="002F6942" w:rsidTr="00115AE5">
        <w:tblPrEx>
          <w:tblCellMar>
            <w:top w:w="0" w:type="dxa"/>
            <w:bottom w:w="0" w:type="dxa"/>
          </w:tblCellMar>
        </w:tblPrEx>
        <w:tc>
          <w:tcPr>
            <w:tcW w:w="4968" w:type="dxa"/>
          </w:tcPr>
          <w:p w:rsidR="00D91385" w:rsidRPr="002F6942" w:rsidRDefault="00D91385" w:rsidP="00115AE5">
            <w:pPr>
              <w:rPr>
                <w:rFonts w:asciiTheme="minorHAnsi" w:hAnsiTheme="minorHAnsi" w:cstheme="minorHAnsi"/>
                <w:b/>
                <w:i/>
                <w:sz w:val="20"/>
                <w:szCs w:val="20"/>
                <w:lang w:val="nl-NL"/>
              </w:rPr>
            </w:pPr>
            <w:r w:rsidRPr="002F6942">
              <w:rPr>
                <w:rFonts w:asciiTheme="minorHAnsi" w:hAnsiTheme="minorHAnsi" w:cstheme="minorHAnsi"/>
                <w:b/>
                <w:i/>
                <w:sz w:val="20"/>
                <w:szCs w:val="20"/>
                <w:lang w:val="nl-NL"/>
              </w:rPr>
              <w:t>Nơi nhận:</w:t>
            </w:r>
          </w:p>
        </w:tc>
        <w:tc>
          <w:tcPr>
            <w:tcW w:w="4500" w:type="dxa"/>
          </w:tcPr>
          <w:p w:rsidR="00D91385" w:rsidRPr="002F6942" w:rsidRDefault="00D91385" w:rsidP="00115AE5">
            <w:pPr>
              <w:jc w:val="center"/>
              <w:rPr>
                <w:rFonts w:asciiTheme="minorHAnsi" w:hAnsiTheme="minorHAnsi" w:cstheme="minorHAnsi"/>
                <w:b/>
                <w:sz w:val="20"/>
                <w:szCs w:val="20"/>
                <w:lang w:val="nl-NL"/>
              </w:rPr>
            </w:pPr>
            <w:r w:rsidRPr="002F6942">
              <w:rPr>
                <w:rFonts w:asciiTheme="minorHAnsi" w:hAnsiTheme="minorHAnsi" w:cstheme="minorHAnsi"/>
                <w:b/>
                <w:sz w:val="20"/>
                <w:szCs w:val="20"/>
                <w:lang w:val="nl-NL"/>
              </w:rPr>
              <w:t>KT. BỘ TRƯỞNG</w:t>
            </w:r>
          </w:p>
        </w:tc>
      </w:tr>
      <w:tr w:rsidR="00D91385" w:rsidRPr="002F6942" w:rsidTr="00115AE5">
        <w:tblPrEx>
          <w:tblCellMar>
            <w:top w:w="0" w:type="dxa"/>
            <w:bottom w:w="0" w:type="dxa"/>
          </w:tblCellMar>
        </w:tblPrEx>
        <w:tc>
          <w:tcPr>
            <w:tcW w:w="4968" w:type="dxa"/>
          </w:tcPr>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Các Bộ, cơ quan ngang Bộ, cơ quan thuộc CP;</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Cơ quan TW của các đoàn thể;</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Văn phòng Quốc hội;</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Văn phòng Chủ tịch nước;</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Văn phòng TW và các Ban của Đảng;</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Viện kiểm sát nhân dân tối cao;</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Toà án nhân dân tối cao;</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Cục kiểm tra văn bản (Bộ Tư pháp);</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Công báo;</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HĐND, UBND các tỉnh, TP trực thuộc TW;</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Sở Tài chính các tỉnh, TP trực thuộc TW;</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Cục Thuế các tỉnh, TP trực thuộc TW;</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KBNN các tỉnh, TP trực thuộc TW;</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Các đơn vị thuộc Bộ Tài chính;</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Vụ pháp chế (Bộ Tài chính);</w:t>
            </w:r>
          </w:p>
          <w:p w:rsidR="00D91385" w:rsidRPr="002F6942" w:rsidRDefault="00D91385" w:rsidP="00115AE5">
            <w:pPr>
              <w:rPr>
                <w:rFonts w:asciiTheme="minorHAnsi" w:hAnsiTheme="minorHAnsi" w:cstheme="minorHAnsi"/>
                <w:sz w:val="20"/>
                <w:szCs w:val="20"/>
                <w:lang w:val="nl-NL"/>
              </w:rPr>
            </w:pPr>
            <w:r w:rsidRPr="002F6942">
              <w:rPr>
                <w:rFonts w:asciiTheme="minorHAnsi" w:hAnsiTheme="minorHAnsi" w:cstheme="minorHAnsi"/>
                <w:sz w:val="20"/>
                <w:szCs w:val="20"/>
                <w:lang w:val="nl-NL"/>
              </w:rPr>
              <w:t>- Lưu: VT, Vụ NSNN và Vụ CĐKT.</w:t>
            </w:r>
          </w:p>
        </w:tc>
        <w:tc>
          <w:tcPr>
            <w:tcW w:w="4500" w:type="dxa"/>
          </w:tcPr>
          <w:p w:rsidR="00D91385" w:rsidRPr="002F6942" w:rsidRDefault="00D91385" w:rsidP="00115AE5">
            <w:pPr>
              <w:jc w:val="center"/>
              <w:rPr>
                <w:rFonts w:asciiTheme="minorHAnsi" w:hAnsiTheme="minorHAnsi" w:cstheme="minorHAnsi"/>
                <w:b/>
                <w:sz w:val="20"/>
                <w:szCs w:val="20"/>
                <w:lang w:val="nl-NL"/>
              </w:rPr>
            </w:pPr>
            <w:r w:rsidRPr="002F6942">
              <w:rPr>
                <w:rFonts w:asciiTheme="minorHAnsi" w:hAnsiTheme="minorHAnsi" w:cstheme="minorHAnsi"/>
                <w:b/>
                <w:sz w:val="20"/>
                <w:szCs w:val="20"/>
                <w:lang w:val="nl-NL"/>
              </w:rPr>
              <w:t>THỨ TRƯỞNG</w:t>
            </w:r>
          </w:p>
          <w:p w:rsidR="00D91385" w:rsidRPr="002F6942" w:rsidRDefault="00D91385" w:rsidP="00115AE5">
            <w:pPr>
              <w:jc w:val="center"/>
              <w:rPr>
                <w:rFonts w:asciiTheme="minorHAnsi" w:hAnsiTheme="minorHAnsi" w:cstheme="minorHAnsi"/>
                <w:b/>
                <w:sz w:val="20"/>
                <w:szCs w:val="20"/>
                <w:lang w:val="nl-NL"/>
              </w:rPr>
            </w:pPr>
          </w:p>
          <w:p w:rsidR="00D91385" w:rsidRPr="002F6942" w:rsidRDefault="00D91385" w:rsidP="00115AE5">
            <w:pPr>
              <w:jc w:val="center"/>
              <w:rPr>
                <w:rFonts w:asciiTheme="minorHAnsi" w:hAnsiTheme="minorHAnsi" w:cstheme="minorHAnsi"/>
                <w:b/>
                <w:sz w:val="20"/>
                <w:szCs w:val="20"/>
                <w:lang w:val="nl-NL"/>
              </w:rPr>
            </w:pPr>
          </w:p>
          <w:p w:rsidR="00D91385" w:rsidRPr="002F6942" w:rsidRDefault="00D91385" w:rsidP="00115AE5">
            <w:pPr>
              <w:jc w:val="center"/>
              <w:rPr>
                <w:rFonts w:asciiTheme="minorHAnsi" w:hAnsiTheme="minorHAnsi" w:cstheme="minorHAnsi"/>
                <w:b/>
                <w:sz w:val="20"/>
                <w:szCs w:val="20"/>
                <w:lang w:val="nl-NL"/>
              </w:rPr>
            </w:pPr>
            <w:r w:rsidRPr="002F6942">
              <w:rPr>
                <w:rFonts w:asciiTheme="minorHAnsi" w:hAnsiTheme="minorHAnsi" w:cstheme="minorHAnsi"/>
                <w:b/>
                <w:sz w:val="20"/>
                <w:szCs w:val="20"/>
                <w:lang w:val="nl-NL"/>
              </w:rPr>
              <w:t>(đã ký)</w:t>
            </w:r>
          </w:p>
          <w:p w:rsidR="00D91385" w:rsidRPr="002F6942" w:rsidRDefault="00D91385" w:rsidP="00115AE5">
            <w:pPr>
              <w:jc w:val="center"/>
              <w:rPr>
                <w:rFonts w:asciiTheme="minorHAnsi" w:hAnsiTheme="minorHAnsi" w:cstheme="minorHAnsi"/>
                <w:b/>
                <w:sz w:val="20"/>
                <w:szCs w:val="20"/>
                <w:lang w:val="nl-NL"/>
              </w:rPr>
            </w:pPr>
          </w:p>
          <w:p w:rsidR="00D91385" w:rsidRPr="002F6942" w:rsidRDefault="00D91385" w:rsidP="00115AE5">
            <w:pPr>
              <w:jc w:val="center"/>
              <w:rPr>
                <w:rFonts w:asciiTheme="minorHAnsi" w:hAnsiTheme="minorHAnsi" w:cstheme="minorHAnsi"/>
                <w:b/>
                <w:sz w:val="20"/>
                <w:szCs w:val="20"/>
                <w:lang w:val="nl-NL"/>
              </w:rPr>
            </w:pPr>
          </w:p>
          <w:p w:rsidR="00D91385" w:rsidRPr="002F6942" w:rsidRDefault="00D91385" w:rsidP="00115AE5">
            <w:pPr>
              <w:jc w:val="center"/>
              <w:rPr>
                <w:rFonts w:asciiTheme="minorHAnsi" w:hAnsiTheme="minorHAnsi" w:cstheme="minorHAnsi"/>
                <w:b/>
                <w:sz w:val="20"/>
                <w:szCs w:val="20"/>
                <w:lang w:val="nl-NL"/>
              </w:rPr>
            </w:pPr>
            <w:r w:rsidRPr="002F6942">
              <w:rPr>
                <w:rFonts w:asciiTheme="minorHAnsi" w:hAnsiTheme="minorHAnsi" w:cstheme="minorHAnsi"/>
                <w:b/>
                <w:sz w:val="20"/>
                <w:szCs w:val="20"/>
                <w:lang w:val="nl-NL"/>
              </w:rPr>
              <w:t xml:space="preserve">  Trần Văn Tá</w:t>
            </w:r>
          </w:p>
        </w:tc>
      </w:tr>
    </w:tbl>
    <w:p w:rsidR="00D91385" w:rsidRPr="002F6942" w:rsidRDefault="00D91385" w:rsidP="00D91385">
      <w:pPr>
        <w:rPr>
          <w:rFonts w:asciiTheme="minorHAnsi" w:hAnsiTheme="minorHAnsi" w:cstheme="minorHAnsi"/>
          <w:sz w:val="20"/>
          <w:szCs w:val="20"/>
          <w:lang w:val="nl-NL"/>
        </w:rPr>
      </w:pPr>
    </w:p>
    <w:p w:rsidR="00DA5766" w:rsidRPr="00D91385" w:rsidRDefault="00D91385">
      <w:pPr>
        <w:rPr>
          <w:lang w:val="nl-NL"/>
        </w:rPr>
      </w:pPr>
    </w:p>
    <w:sectPr w:rsidR="00DA5766" w:rsidRPr="00D91385" w:rsidSect="00DD07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385"/>
    <w:rsid w:val="00D375E4"/>
    <w:rsid w:val="00D91385"/>
    <w:rsid w:val="00DD0750"/>
    <w:rsid w:val="00F13D7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85"/>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Company>Hewlett-Packard Company</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hoangthiphuongquyen</dc:creator>
  <cp:lastModifiedBy>hoangthiphuongquyen</cp:lastModifiedBy>
  <cp:revision>1</cp:revision>
  <dcterms:created xsi:type="dcterms:W3CDTF">2015-12-03T01:21:00Z</dcterms:created>
  <dcterms:modified xsi:type="dcterms:W3CDTF">2015-12-03T01:21:00Z</dcterms:modified>
</cp:coreProperties>
</file>